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EB588">
      <w:pPr>
        <w:spacing w:after="160"/>
        <w:jc w:val="center"/>
      </w:pPr>
      <w:r>
        <w:rPr>
          <w:rFonts w:ascii="微软雅黑" w:hAnsi="微软雅黑" w:eastAsia="微软雅黑"/>
          <w:b/>
          <w:color w:val="1F4E79"/>
          <w:sz w:val="44"/>
        </w:rPr>
        <w:t>送检功能操作手册</w:t>
      </w:r>
    </w:p>
    <w:p w14:paraId="57E136AC">
      <w:pPr>
        <w:spacing w:after="320"/>
        <w:jc w:val="center"/>
      </w:pPr>
      <w:r>
        <w:rPr>
          <w:rFonts w:ascii="微软雅黑" w:hAnsi="微软雅黑" w:eastAsia="微软雅黑"/>
          <w:b w:val="0"/>
          <w:color w:val="595959"/>
          <w:sz w:val="24"/>
        </w:rPr>
        <w:t>管理端与小程序端流程说明</w:t>
      </w:r>
    </w:p>
    <w:tbl>
      <w:tblPr>
        <w:tblStyle w:val="32"/>
        <w:tblW w:w="0" w:type="auto"/>
        <w:jc w:val="center"/>
        <w:tblBorders>
          <w:top w:val="single" w:color="D9E2F3" w:sz="4" w:space="0"/>
          <w:left w:val="single" w:color="D9E2F3" w:sz="4" w:space="0"/>
          <w:bottom w:val="single" w:color="D9E2F3" w:sz="4" w:space="0"/>
          <w:right w:val="single" w:color="D9E2F3" w:sz="4" w:space="0"/>
          <w:insideH w:val="single" w:color="D9E2F3" w:sz="4" w:space="0"/>
          <w:insideV w:val="single" w:color="D9E2F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9"/>
        <w:gridCol w:w="4929"/>
      </w:tblGrid>
      <w:tr w14:paraId="2C959A1B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EAF3F8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315517">
            <w:r>
              <w:rPr>
                <w:rFonts w:ascii="微软雅黑" w:hAnsi="微软雅黑" w:eastAsia="微软雅黑"/>
                <w:b/>
                <w:color w:val="1F4E79"/>
                <w:sz w:val="21"/>
              </w:rPr>
              <w:t>版本</w:t>
            </w:r>
          </w:p>
        </w:tc>
        <w:tc>
          <w:tcPr>
            <w:tcW w:w="4929" w:type="dx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5CD179">
            <w:r>
              <w:rPr>
                <w:rFonts w:ascii="微软雅黑" w:hAnsi="微软雅黑" w:eastAsia="微软雅黑"/>
                <w:b w:val="0"/>
                <w:sz w:val="21"/>
              </w:rPr>
              <w:t>V1.1</w:t>
            </w:r>
          </w:p>
        </w:tc>
      </w:tr>
      <w:tr w14:paraId="013EA186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EAF3F8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BA598FA">
            <w:r>
              <w:rPr>
                <w:rFonts w:ascii="微软雅黑" w:hAnsi="微软雅黑" w:eastAsia="微软雅黑"/>
                <w:b/>
                <w:color w:val="1F4E79"/>
                <w:sz w:val="21"/>
              </w:rPr>
              <w:t>日期</w:t>
            </w:r>
          </w:p>
        </w:tc>
        <w:tc>
          <w:tcPr>
            <w:tcW w:w="4929" w:type="dx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C3CE12">
            <w:r>
              <w:rPr>
                <w:rFonts w:ascii="微软雅黑" w:hAnsi="微软雅黑" w:eastAsia="微软雅黑"/>
                <w:b w:val="0"/>
                <w:sz w:val="21"/>
              </w:rPr>
              <w:t>2026-06-05</w:t>
            </w:r>
          </w:p>
        </w:tc>
      </w:tr>
      <w:tr w14:paraId="410BA30A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EAF3F8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9C51E3">
            <w:r>
              <w:rPr>
                <w:rFonts w:ascii="微软雅黑" w:hAnsi="微软雅黑" w:eastAsia="微软雅黑"/>
                <w:b/>
                <w:color w:val="1F4E79"/>
                <w:sz w:val="21"/>
              </w:rPr>
              <w:t>范围</w:t>
            </w:r>
          </w:p>
        </w:tc>
        <w:tc>
          <w:tcPr>
            <w:tcW w:w="4929" w:type="dxa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A371AF0">
            <w:r>
              <w:rPr>
                <w:rFonts w:ascii="微软雅黑" w:hAnsi="微软雅黑" w:eastAsia="微软雅黑"/>
                <w:b w:val="0"/>
                <w:sz w:val="21"/>
              </w:rPr>
              <w:t>送检配置、送检提交、修改申请审核、后台编辑、回寄物流、附件下载</w:t>
            </w:r>
          </w:p>
        </w:tc>
      </w:tr>
    </w:tbl>
    <w:p w14:paraId="58E6F370">
      <w:pPr>
        <w:pStyle w:val="3"/>
        <w:spacing w:before="240" w:after="120"/>
      </w:pPr>
      <w:r>
        <w:rPr>
          <w:rFonts w:ascii="微软雅黑" w:hAnsi="微软雅黑" w:eastAsia="微软雅黑"/>
          <w:b/>
          <w:color w:val="1F4E79"/>
          <w:sz w:val="32"/>
        </w:rPr>
        <w:t>1. 流程总览</w:t>
      </w:r>
    </w:p>
    <w:p w14:paraId="2DDEF69A">
      <w:pPr>
        <w:spacing w:after="160" w:line="288" w:lineRule="auto"/>
      </w:pPr>
      <w:r>
        <w:rPr>
          <w:rFonts w:ascii="微软雅黑" w:hAnsi="微软雅黑" w:eastAsia="微软雅黑"/>
          <w:b w:val="0"/>
          <w:sz w:val="21"/>
        </w:rPr>
        <w:t>送检流程从患者资料审核通过后开始。患者首次提交送检信息后状态变为“已生效”；如需修改，由患者主动提交修改申请，后台审核通过后患者可重新编辑。</w:t>
      </w:r>
    </w:p>
    <w:tbl>
      <w:tblPr>
        <w:tblStyle w:val="32"/>
        <w:tblW w:w="0" w:type="auto"/>
        <w:jc w:val="center"/>
        <w:tblBorders>
          <w:top w:val="single" w:color="D9E2F3" w:sz="4" w:space="0"/>
          <w:left w:val="single" w:color="D9E2F3" w:sz="4" w:space="0"/>
          <w:bottom w:val="single" w:color="D9E2F3" w:sz="4" w:space="0"/>
          <w:right w:val="single" w:color="D9E2F3" w:sz="4" w:space="0"/>
          <w:insideH w:val="single" w:color="D9E2F3" w:sz="4" w:space="0"/>
          <w:insideV w:val="single" w:color="D9E2F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3286"/>
        <w:gridCol w:w="3286"/>
      </w:tblGrid>
      <w:tr w14:paraId="61B9F523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6" w:type="dxa"/>
            <w:shd w:val="clear" w:color="auto" w:fill="1F4E7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C95CAB1">
            <w:r>
              <w:rPr>
                <w:rFonts w:ascii="微软雅黑" w:hAnsi="微软雅黑" w:eastAsia="微软雅黑"/>
                <w:b/>
                <w:color w:val="FFFFFF"/>
                <w:sz w:val="20"/>
              </w:rPr>
              <w:t>状态</w:t>
            </w:r>
          </w:p>
        </w:tc>
        <w:tc>
          <w:tcPr>
            <w:tcW w:w="3286" w:type="dxa"/>
            <w:shd w:val="clear" w:color="auto" w:fill="1F4E7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F87401D">
            <w:r>
              <w:rPr>
                <w:rFonts w:ascii="微软雅黑" w:hAnsi="微软雅黑" w:eastAsia="微软雅黑"/>
                <w:b/>
                <w:color w:val="FFFFFF"/>
                <w:sz w:val="20"/>
              </w:rPr>
              <w:t>含义</w:t>
            </w:r>
          </w:p>
        </w:tc>
        <w:tc>
          <w:tcPr>
            <w:tcW w:w="3286" w:type="dxa"/>
            <w:shd w:val="clear" w:color="auto" w:fill="1F4E7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7BD660">
            <w:r>
              <w:rPr>
                <w:rFonts w:ascii="微软雅黑" w:hAnsi="微软雅黑" w:eastAsia="微软雅黑"/>
                <w:b/>
                <w:color w:val="FFFFFF"/>
                <w:sz w:val="20"/>
              </w:rPr>
              <w:t>下一步</w:t>
            </w:r>
          </w:p>
        </w:tc>
      </w:tr>
      <w:tr w14:paraId="20B6B91A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10EEBA6">
            <w:r>
              <w:rPr>
                <w:rFonts w:ascii="微软雅黑" w:hAnsi="微软雅黑" w:eastAsia="微软雅黑"/>
                <w:b/>
                <w:sz w:val="20"/>
              </w:rPr>
              <w:t>可修改</w:t>
            </w:r>
          </w:p>
        </w:tc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E8A2456">
            <w:r>
              <w:rPr>
                <w:rFonts w:ascii="微软雅黑" w:hAnsi="微软雅黑" w:eastAsia="微软雅黑"/>
                <w:b w:val="0"/>
                <w:sz w:val="20"/>
              </w:rPr>
              <w:t>患者可填写或重新编辑送检信息。</w:t>
            </w:r>
          </w:p>
        </w:tc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7D7297A">
            <w:r>
              <w:rPr>
                <w:rFonts w:ascii="微软雅黑" w:hAnsi="微软雅黑" w:eastAsia="微软雅黑"/>
                <w:b w:val="0"/>
                <w:sz w:val="20"/>
              </w:rPr>
              <w:t>提交后变为“已生效”。</w:t>
            </w:r>
          </w:p>
        </w:tc>
      </w:tr>
      <w:tr w14:paraId="40D8CA7E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6FF8290">
            <w:r>
              <w:rPr>
                <w:rFonts w:ascii="微软雅黑" w:hAnsi="微软雅黑" w:eastAsia="微软雅黑"/>
                <w:b/>
                <w:sz w:val="20"/>
              </w:rPr>
              <w:t>已生效</w:t>
            </w:r>
          </w:p>
        </w:tc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559B872">
            <w:r>
              <w:rPr>
                <w:rFonts w:ascii="微软雅黑" w:hAnsi="微软雅黑" w:eastAsia="微软雅黑"/>
                <w:b w:val="0"/>
                <w:sz w:val="20"/>
              </w:rPr>
              <w:t>患者已提交送检信息，页面只读。</w:t>
            </w:r>
          </w:p>
        </w:tc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443D54">
            <w:r>
              <w:rPr>
                <w:rFonts w:ascii="微软雅黑" w:hAnsi="微软雅黑" w:eastAsia="微软雅黑"/>
                <w:b w:val="0"/>
                <w:sz w:val="20"/>
              </w:rPr>
              <w:t>患者可发起修改申请；后台可直接编辑、重置或填写回寄单号。</w:t>
            </w:r>
          </w:p>
        </w:tc>
      </w:tr>
      <w:tr w14:paraId="6C69A352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8916CDF">
            <w:r>
              <w:rPr>
                <w:rFonts w:ascii="微软雅黑" w:hAnsi="微软雅黑" w:eastAsia="微软雅黑"/>
                <w:b/>
                <w:sz w:val="20"/>
              </w:rPr>
              <w:t>修改申请待审核</w:t>
            </w:r>
          </w:p>
        </w:tc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B46A4D">
            <w:r>
              <w:rPr>
                <w:rFonts w:ascii="微软雅黑" w:hAnsi="微软雅黑" w:eastAsia="微软雅黑"/>
                <w:b w:val="0"/>
                <w:sz w:val="20"/>
              </w:rPr>
              <w:t>患者已提交修改申请，等待后台审核。</w:t>
            </w:r>
          </w:p>
        </w:tc>
        <w:tc>
          <w:tcPr>
            <w:tcW w:w="3286" w:type="dxa"/>
            <w:shd w:val="clear" w:color="auto" w:fill="F8FB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B5DCFB">
            <w:r>
              <w:rPr>
                <w:rFonts w:ascii="微软雅黑" w:hAnsi="微软雅黑" w:eastAsia="微软雅黑"/>
                <w:b w:val="0"/>
                <w:sz w:val="20"/>
              </w:rPr>
              <w:t>后台审核通过后变为“可修改”；驳回后回到“已生效”。</w:t>
            </w:r>
          </w:p>
        </w:tc>
      </w:tr>
      <w:tr w14:paraId="483F170E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C3ED40">
            <w:r>
              <w:rPr>
                <w:rFonts w:ascii="微软雅黑" w:hAnsi="微软雅黑" w:eastAsia="微软雅黑"/>
                <w:b/>
                <w:sz w:val="20"/>
              </w:rPr>
              <w:t>已寄回</w:t>
            </w:r>
          </w:p>
        </w:tc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4DD51DF">
            <w:r>
              <w:rPr>
                <w:rFonts w:ascii="微软雅黑" w:hAnsi="微软雅黑" w:eastAsia="微软雅黑"/>
                <w:b w:val="0"/>
                <w:sz w:val="20"/>
              </w:rPr>
              <w:t>后台已填写回寄物流单号。</w:t>
            </w:r>
          </w:p>
        </w:tc>
        <w:tc>
          <w:tcPr>
            <w:tcW w:w="3286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F96A31D">
            <w:r>
              <w:rPr>
                <w:rFonts w:ascii="微软雅黑" w:hAnsi="微软雅黑" w:eastAsia="微软雅黑"/>
                <w:b w:val="0"/>
                <w:sz w:val="20"/>
              </w:rPr>
              <w:t>小程序展示回寄信息；后台可修改回寄单号。</w:t>
            </w:r>
          </w:p>
        </w:tc>
      </w:tr>
    </w:tbl>
    <w:p w14:paraId="7832446C">
      <w:pPr>
        <w:spacing w:after="80"/>
      </w:pPr>
    </w:p>
    <w:p w14:paraId="53F034A0">
      <w:pPr>
        <w:spacing w:after="40"/>
      </w:pPr>
    </w:p>
    <w:p w14:paraId="24A70338">
      <w:pPr>
        <w:pStyle w:val="3"/>
        <w:spacing w:before="240" w:after="120"/>
      </w:pPr>
      <w:r>
        <w:rPr>
          <w:rFonts w:ascii="微软雅黑" w:hAnsi="微软雅黑" w:eastAsia="微软雅黑"/>
          <w:b/>
          <w:color w:val="1F4E79"/>
          <w:sz w:val="32"/>
        </w:rPr>
        <w:t>2. 管理端操作</w:t>
      </w:r>
    </w:p>
    <w:p w14:paraId="647132A7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2.1 配置送检收件信息</w:t>
      </w:r>
    </w:p>
    <w:p w14:paraId="0D08AC8D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进入“患者管理”页面。</w:t>
      </w:r>
    </w:p>
    <w:p w14:paraId="77CA9EC0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点击“送检信息配置”。</w:t>
      </w:r>
    </w:p>
    <w:p w14:paraId="7047DAAC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填写收件地址、收件人、电话。这里的电话用于寄送样本时展示和复制。</w:t>
      </w:r>
    </w:p>
    <w:p w14:paraId="2CF2D66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按需填写“平台电话”。该字段选填，仅用于小程序提示中的“详情咨询”。</w:t>
      </w:r>
    </w:p>
    <w:p w14:paraId="1C45ADA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点击“保存”。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8"/>
      </w:tblGrid>
      <w:tr w14:paraId="714EE513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3E970DEB">
            <w:r>
              <w:drawing>
                <wp:inline distT="0" distB="0" distL="114300" distR="114300">
                  <wp:extent cx="6251575" cy="3236595"/>
                  <wp:effectExtent l="0" t="0" r="1587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1575" cy="323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0C527E">
      <w:pPr>
        <w:spacing w:after="80"/>
      </w:pPr>
    </w:p>
    <w:p w14:paraId="4ED704F6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2.2 查看患者送检信息</w:t>
      </w:r>
    </w:p>
    <w:p w14:paraId="0D6A3040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进入“患者管理”页面。列表中可查看“送检状态”。</w:t>
      </w:r>
    </w:p>
    <w:p w14:paraId="653661E5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找到患者并点击“查看详情”。</w:t>
      </w:r>
    </w:p>
    <w:p w14:paraId="7855164B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在“送检信息”模块查看样本类型、是否需寄回、回寄收件信息、报告邮箱、送检物流单号、送检单照片和当前状态。</w:t>
      </w:r>
    </w:p>
    <w:p w14:paraId="51CE6EE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页面下方“流转日志”会展示资料审核记录和送检相关日志。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8"/>
      </w:tblGrid>
      <w:tr w14:paraId="2F1921C1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12587965">
            <w:r>
              <w:drawing>
                <wp:inline distT="0" distB="0" distL="114300" distR="114300">
                  <wp:extent cx="6249670" cy="3649345"/>
                  <wp:effectExtent l="0" t="0" r="17780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9670" cy="3649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646FAB">
      <w:pPr>
        <w:spacing w:after="80"/>
      </w:pPr>
    </w:p>
    <w:p w14:paraId="633423A7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2.3 审核送检修改申请</w:t>
      </w:r>
    </w:p>
    <w:p w14:paraId="5DEAF04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当患者提交修改申请后，患者列表“送检状态”为“修改申请待审核”，操作列显示“去审核”。</w:t>
      </w:r>
    </w:p>
    <w:p w14:paraId="3A4F32E1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进入患者详情页，查看申请原因。</w:t>
      </w:r>
    </w:p>
    <w:p w14:paraId="1D03347C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点击“通过送检修改申请”：状态变为“可修改”，患者可重新提交送检信息。</w:t>
      </w:r>
    </w:p>
    <w:p w14:paraId="55E6865A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点击“驳回送检修改申请”：填写驳回原因后保存，状态回到“已生效”。</w:t>
      </w:r>
    </w:p>
    <w:p w14:paraId="1F989695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通过或驳回都会生成小程序消息中心消息，并尝试发送订阅消息。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8"/>
      </w:tblGrid>
      <w:tr w14:paraId="6965F2BA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046C7CC9">
            <w:r>
              <w:drawing>
                <wp:inline distT="0" distB="0" distL="114300" distR="114300">
                  <wp:extent cx="6257925" cy="2772410"/>
                  <wp:effectExtent l="0" t="0" r="9525" b="889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7925" cy="277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305867">
      <w:pPr>
        <w:spacing w:after="80"/>
      </w:pPr>
    </w:p>
    <w:p w14:paraId="3ED1AB8E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2.4 后台编辑、重置和回寄</w:t>
      </w:r>
    </w:p>
    <w:p w14:paraId="41054889">
      <w:pPr>
        <w:pStyle w:val="16"/>
        <w:spacing w:after="60" w:line="288" w:lineRule="auto"/>
      </w:pPr>
      <w:r>
        <w:rPr>
          <w:rFonts w:ascii="微软雅黑" w:hAnsi="微软雅黑" w:eastAsia="微软雅黑"/>
          <w:b w:val="0"/>
          <w:sz w:val="21"/>
        </w:rPr>
        <w:t>编辑送检信息：患者详情页点击“编辑送检信息”，后台可直接修改送检内容；保存后状态为“已生效”，并生成送检日志。</w:t>
      </w:r>
    </w:p>
    <w:p w14:paraId="41513851">
      <w:pPr>
        <w:pStyle w:val="16"/>
        <w:spacing w:after="60" w:line="288" w:lineRule="auto"/>
      </w:pPr>
      <w:r>
        <w:rPr>
          <w:rFonts w:ascii="微软雅黑" w:hAnsi="微软雅黑" w:eastAsia="微软雅黑"/>
          <w:b w:val="0"/>
          <w:sz w:val="21"/>
        </w:rPr>
        <w:t>重置送检信息编辑：状态为“已生效”时可点击“重置送检信息编辑”，确认后状态变为“可修改”。</w:t>
      </w:r>
    </w:p>
    <w:p w14:paraId="7CD9ED4C">
      <w:pPr>
        <w:pStyle w:val="16"/>
        <w:spacing w:after="60" w:line="288" w:lineRule="auto"/>
      </w:pPr>
      <w:r>
        <w:rPr>
          <w:rFonts w:ascii="微软雅黑" w:hAnsi="微软雅黑" w:eastAsia="微软雅黑"/>
          <w:b w:val="0"/>
          <w:sz w:val="21"/>
        </w:rPr>
        <w:t>填写回寄物流单号：当患者选择“样本需寄回”，且状态为“已生效”或“已寄回”时，可填写或修改回寄物流单号。保存后状态为“已寄回”。</w:t>
      </w:r>
    </w:p>
    <w:p w14:paraId="4108F573">
      <w:pPr>
        <w:pStyle w:val="16"/>
        <w:spacing w:after="60" w:line="288" w:lineRule="auto"/>
      </w:pPr>
      <w:r>
        <w:rPr>
          <w:rFonts w:ascii="微软雅黑" w:hAnsi="微软雅黑" w:eastAsia="微软雅黑"/>
          <w:b w:val="0"/>
          <w:sz w:val="21"/>
        </w:rPr>
        <w:t>回寄物流保存后只生成小程序消息中心消息，不发送短信和订阅通知。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8"/>
      </w:tblGrid>
      <w:tr w14:paraId="000F85C0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22E6EF99">
            <w:r>
              <w:drawing>
                <wp:inline distT="0" distB="0" distL="114300" distR="114300">
                  <wp:extent cx="6254115" cy="4117340"/>
                  <wp:effectExtent l="0" t="0" r="13335" b="165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115" cy="411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A6351F">
            <w:r>
              <w:drawing>
                <wp:inline distT="0" distB="0" distL="114300" distR="114300">
                  <wp:extent cx="6259830" cy="3279775"/>
                  <wp:effectExtent l="0" t="0" r="7620" b="1587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9830" cy="327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F039E5">
      <w:pPr>
        <w:spacing w:after="80"/>
      </w:pPr>
    </w:p>
    <w:p w14:paraId="13E5AA77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2.5 异步下载附件</w:t>
      </w:r>
    </w:p>
    <w:p w14:paraId="4E2AEFDC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在“患者管理”页面点击“异步下载附件”。</w:t>
      </w:r>
    </w:p>
    <w:p w14:paraId="3197B41E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选择导出范围：“当前筛选结果”或“已选患者”。如需只下载部分患者，先在列表中勾选患者。</w:t>
      </w:r>
    </w:p>
    <w:p w14:paraId="7D2F8552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选择附件类型：实名认证照片、上传资料、签字材料、送检信息附件。</w:t>
      </w:r>
    </w:p>
    <w:p w14:paraId="3E1C7F99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“送检信息附件”对应送检单照片，默认不选中。</w:t>
      </w:r>
    </w:p>
    <w:p w14:paraId="64CAC704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点击“创建任务”，随后可进入“下载管理”查看任务进度并下载 ZIP 文件。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8"/>
      </w:tblGrid>
      <w:tr w14:paraId="491CBD34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7C075D6C">
            <w:pPr>
              <w:jc w:val="center"/>
            </w:pPr>
            <w:r>
              <w:drawing>
                <wp:inline distT="0" distB="0" distL="114300" distR="114300">
                  <wp:extent cx="6257925" cy="3382645"/>
                  <wp:effectExtent l="0" t="0" r="9525" b="825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7925" cy="338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52925D">
      <w:pPr>
        <w:spacing w:after="80"/>
      </w:pPr>
    </w:p>
    <w:p w14:paraId="69459D7A">
      <w:pPr>
        <w:pStyle w:val="3"/>
        <w:spacing w:before="240" w:after="120"/>
      </w:pPr>
      <w:r>
        <w:rPr>
          <w:rFonts w:ascii="微软雅黑" w:hAnsi="微软雅黑" w:eastAsia="微软雅黑"/>
          <w:b/>
          <w:color w:val="1F4E79"/>
          <w:sz w:val="32"/>
        </w:rPr>
        <w:t>3. 小程序端操作</w:t>
      </w:r>
    </w:p>
    <w:p w14:paraId="42F0A7BA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3.1 查看审核通过提示</w:t>
      </w:r>
    </w:p>
    <w:p w14:paraId="5A9E9F6E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患者资料审核通过后，可在审核通过页面或消息中查看提示。</w:t>
      </w:r>
    </w:p>
    <w:p w14:paraId="30CDFAD5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页面展示平台收件地址、收件人、电话。</w:t>
      </w:r>
    </w:p>
    <w:p w14:paraId="4E3F385F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页面提示：样本请发顺丰到付，血液样本需要联系顺丰快递员加冰袋。</w:t>
      </w:r>
    </w:p>
    <w:p w14:paraId="2315A390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点击“复制送检信息”可复制收件地址、收件人和电话；复制内容不包含顺丰到付提示。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5F70D098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41904FCB">
            <w:pPr>
              <w:jc w:val="center"/>
            </w:pPr>
            <w:r>
              <w:drawing>
                <wp:inline distT="0" distB="0" distL="114300" distR="114300">
                  <wp:extent cx="3438525" cy="558165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558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70936D">
      <w:pPr>
        <w:spacing w:after="80"/>
      </w:pPr>
    </w:p>
    <w:p w14:paraId="3455AB59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3.2 首次填写送检信息</w:t>
      </w:r>
    </w:p>
    <w:p w14:paraId="60E75AF8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进入“个人中心” → “送检信息”。</w:t>
      </w:r>
    </w:p>
    <w:p w14:paraId="6764452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确认平台收件信息，可点击“复制送检信息”。</w:t>
      </w:r>
    </w:p>
    <w:p w14:paraId="27923B15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选择送检样本类型。若样本需要寄回，填写回寄收件人、电话和地址。</w:t>
      </w:r>
    </w:p>
    <w:p w14:paraId="45169B2D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填写报告接收邮箱、送检样本物流单号，并上传送检单照片。</w:t>
      </w:r>
    </w:p>
    <w:p w14:paraId="6F2D2031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勾选“请阅读并同意《患者告知书》”，点击“提交送检信息”。</w:t>
      </w:r>
    </w:p>
    <w:p w14:paraId="67C5ED29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提交成功后状态变为“已生效”，页面内容变为只读。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4E0CE5B1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357DFCBC">
            <w:pPr>
              <w:jc w:val="center"/>
            </w:pPr>
            <w:r>
              <w:drawing>
                <wp:inline distT="0" distB="0" distL="114300" distR="114300">
                  <wp:extent cx="3429000" cy="680085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680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CC1A8F">
      <w:pPr>
        <w:spacing w:after="80"/>
      </w:pPr>
    </w:p>
    <w:p w14:paraId="5FC95360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3.3 申请修改送检信息</w:t>
      </w:r>
    </w:p>
    <w:p w14:paraId="397AEDB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送检信息已生效后，页面显示“申请修改送检信息”按钮。</w:t>
      </w:r>
    </w:p>
    <w:p w14:paraId="1C9147B3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点击按钮，在底部弹窗填写申请原因并提交。</w:t>
      </w:r>
    </w:p>
    <w:p w14:paraId="46B34078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提交后状态变为“修改申请待审核”，患者需等待平台处理。</w:t>
      </w:r>
    </w:p>
    <w:p w14:paraId="34CF813C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若后台配置了平台电话，温馨提示中会追加“详情咨询平台电话”。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6BB4A160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2FACF982">
            <w:pPr>
              <w:jc w:val="center"/>
            </w:pPr>
            <w:r>
              <w:drawing>
                <wp:inline distT="0" distB="0" distL="114300" distR="114300">
                  <wp:extent cx="3448050" cy="2924175"/>
                  <wp:effectExtent l="0" t="0" r="0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19C317">
      <w:pPr>
        <w:spacing w:after="80"/>
      </w:pPr>
    </w:p>
    <w:p w14:paraId="7733F4F1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3.4 查看修改申请审核结果</w:t>
      </w:r>
    </w:p>
    <w:p w14:paraId="70CC1CDB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后台通过或驳回修改申请后，小程序会收到订阅消息，订阅消息跳转到“个人中心”。</w:t>
      </w:r>
    </w:p>
    <w:p w14:paraId="22A85EFE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消息中心会生成一条“送检信息修改申请审核结果”消息。</w:t>
      </w:r>
    </w:p>
    <w:p w14:paraId="304FA8DC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打开消息详情，可查看审核结果；点击详情中的入口可跳转“送检信息”页面。</w:t>
      </w:r>
    </w:p>
    <w:p w14:paraId="0F1835B0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通过后患者可重新编辑并提交送检信息；驳回后页面展示驳回原因。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6E7B5EE5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6F7FB6BC">
            <w:pPr>
              <w:jc w:val="center"/>
            </w:pPr>
            <w:r>
              <w:drawing>
                <wp:inline distT="0" distB="0" distL="114300" distR="114300">
                  <wp:extent cx="3448050" cy="3286125"/>
                  <wp:effectExtent l="0" t="0" r="0" b="952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5567C5">
      <w:pPr>
        <w:spacing w:after="80"/>
      </w:pPr>
    </w:p>
    <w:p w14:paraId="34C90DB4">
      <w:pPr>
        <w:pStyle w:val="4"/>
        <w:spacing w:before="160" w:after="120"/>
      </w:pPr>
      <w:r>
        <w:rPr>
          <w:rFonts w:ascii="微软雅黑" w:hAnsi="微软雅黑" w:eastAsia="微软雅黑"/>
          <w:b/>
          <w:color w:val="2E75B6"/>
          <w:sz w:val="26"/>
        </w:rPr>
        <w:t>3.5 查看回寄信息</w:t>
      </w:r>
    </w:p>
    <w:p w14:paraId="01C0DD59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后台填写回寄物流单号后，消息中心新增“回寄信息”。</w:t>
      </w:r>
    </w:p>
    <w:p w14:paraId="1C19DAB2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打开消息详情，页面展示“样品已经寄回”和回寄物流单号。</w:t>
      </w:r>
    </w:p>
    <w:p w14:paraId="321BB216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点击“复制单号”可复制回寄物流单号。</w:t>
      </w:r>
    </w:p>
    <w:p w14:paraId="14E0A1E7">
      <w:pPr>
        <w:pStyle w:val="14"/>
        <w:spacing w:after="80" w:line="288" w:lineRule="auto"/>
      </w:pPr>
      <w:r>
        <w:rPr>
          <w:rFonts w:ascii="微软雅黑" w:hAnsi="微软雅黑" w:eastAsia="微软雅黑"/>
          <w:b w:val="0"/>
          <w:sz w:val="21"/>
        </w:rPr>
        <w:t>患者也可在“个人中心” → “送检信息”查看“已寄回”状态和回寄单号。</w:t>
      </w:r>
    </w:p>
    <w:tbl>
      <w:tblPr>
        <w:tblStyle w:val="32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77B51E59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F2F2F2"/>
            <w:tcMar>
              <w:top w:w="240" w:type="dxa"/>
              <w:left w:w="220" w:type="dxa"/>
              <w:bottom w:w="240" w:type="dxa"/>
              <w:right w:w="220" w:type="dxa"/>
            </w:tcMar>
            <w:vAlign w:val="center"/>
          </w:tcPr>
          <w:p w14:paraId="004628F2">
            <w:pPr>
              <w:jc w:val="center"/>
            </w:pPr>
            <w:r>
              <w:drawing>
                <wp:inline distT="0" distB="0" distL="114300" distR="114300">
                  <wp:extent cx="3429000" cy="3971925"/>
                  <wp:effectExtent l="0" t="0" r="0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397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016E1810">
      <w:pPr>
        <w:spacing w:after="80"/>
      </w:pPr>
    </w:p>
    <w:p w14:paraId="37A683EE">
      <w:pPr>
        <w:pStyle w:val="3"/>
        <w:spacing w:before="240" w:after="120"/>
      </w:pPr>
      <w:r>
        <w:rPr>
          <w:rFonts w:ascii="微软雅黑" w:hAnsi="微软雅黑" w:eastAsia="微软雅黑"/>
          <w:b/>
          <w:color w:val="1F4E79"/>
          <w:sz w:val="32"/>
        </w:rPr>
        <w:t>4. 常见问题</w:t>
      </w:r>
    </w:p>
    <w:tbl>
      <w:tblPr>
        <w:tblStyle w:val="32"/>
        <w:tblW w:w="0" w:type="auto"/>
        <w:jc w:val="center"/>
        <w:tblBorders>
          <w:top w:val="single" w:color="D9E2F3" w:sz="4" w:space="0"/>
          <w:left w:val="single" w:color="D9E2F3" w:sz="4" w:space="0"/>
          <w:bottom w:val="single" w:color="D9E2F3" w:sz="4" w:space="0"/>
          <w:right w:val="single" w:color="D9E2F3" w:sz="4" w:space="0"/>
          <w:insideH w:val="single" w:color="D9E2F3" w:sz="4" w:space="0"/>
          <w:insideV w:val="single" w:color="D9E2F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9"/>
        <w:gridCol w:w="4929"/>
      </w:tblGrid>
      <w:tr w14:paraId="46A4D9C4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1F4E7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BF46B8">
            <w:r>
              <w:rPr>
                <w:rFonts w:ascii="微软雅黑" w:hAnsi="微软雅黑" w:eastAsia="微软雅黑"/>
                <w:b/>
                <w:color w:val="FFFFFF"/>
                <w:sz w:val="20"/>
              </w:rPr>
              <w:t>问题</w:t>
            </w:r>
          </w:p>
        </w:tc>
        <w:tc>
          <w:tcPr>
            <w:tcW w:w="4929" w:type="dxa"/>
            <w:shd w:val="clear" w:color="auto" w:fill="1F4E7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2B68BF">
            <w:r>
              <w:rPr>
                <w:rFonts w:ascii="微软雅黑" w:hAnsi="微软雅黑" w:eastAsia="微软雅黑"/>
                <w:b/>
                <w:color w:val="FFFFFF"/>
                <w:sz w:val="20"/>
              </w:rPr>
              <w:t>处理方式</w:t>
            </w:r>
          </w:p>
        </w:tc>
      </w:tr>
      <w:tr w14:paraId="7C9427E2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517B7A9">
            <w:r>
              <w:rPr>
                <w:rFonts w:ascii="微软雅黑" w:hAnsi="微软雅黑" w:eastAsia="微软雅黑"/>
                <w:b w:val="0"/>
                <w:sz w:val="20"/>
              </w:rPr>
              <w:t>患者提交送检信息后还能自己修改吗？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6062B0">
            <w:r>
              <w:rPr>
                <w:rFonts w:ascii="微软雅黑" w:hAnsi="微软雅黑" w:eastAsia="微软雅黑"/>
                <w:b w:val="0"/>
                <w:sz w:val="20"/>
              </w:rPr>
              <w:t>不能直接修改。患者点击“申请修改送检信息”，后台审核通过后才可重新编辑。</w:t>
            </w:r>
          </w:p>
        </w:tc>
      </w:tr>
      <w:tr w14:paraId="333539E4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36D1D4">
            <w:r>
              <w:rPr>
                <w:rFonts w:ascii="微软雅黑" w:hAnsi="微软雅黑" w:eastAsia="微软雅黑"/>
                <w:b w:val="0"/>
                <w:sz w:val="20"/>
              </w:rPr>
              <w:t>审核通过或驳回修改申请后，患者怎么知道？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F27258">
            <w:r>
              <w:rPr>
                <w:rFonts w:ascii="微软雅黑" w:hAnsi="微软雅黑" w:eastAsia="微软雅黑"/>
                <w:b w:val="0"/>
                <w:sz w:val="20"/>
              </w:rPr>
              <w:t>小程序会发送订阅消息，并在消息中心生成审核结果消息；消息详情可跳转送检信息页。</w:t>
            </w:r>
          </w:p>
        </w:tc>
      </w:tr>
      <w:tr w14:paraId="6F674D43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95037BE">
            <w:r>
              <w:rPr>
                <w:rFonts w:ascii="微软雅黑" w:hAnsi="微软雅黑" w:eastAsia="微软雅黑"/>
                <w:b w:val="0"/>
                <w:sz w:val="20"/>
              </w:rPr>
              <w:t>平台电话没有配置会怎样？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F4986A">
            <w:r>
              <w:rPr>
                <w:rFonts w:ascii="微软雅黑" w:hAnsi="微软雅黑" w:eastAsia="微软雅黑"/>
                <w:b w:val="0"/>
                <w:sz w:val="20"/>
              </w:rPr>
              <w:t>“已生效”提示只说明点击申请修改按钮申请，不展示咨询电话。</w:t>
            </w:r>
          </w:p>
        </w:tc>
      </w:tr>
      <w:tr w14:paraId="6B3746C3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8499FFB">
            <w:r>
              <w:rPr>
                <w:rFonts w:ascii="微软雅黑" w:hAnsi="微软雅黑" w:eastAsia="微软雅黑"/>
                <w:b w:val="0"/>
                <w:sz w:val="20"/>
              </w:rPr>
              <w:t>后台是否可以直接修改送检信息？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B4DA438">
            <w:r>
              <w:rPr>
                <w:rFonts w:ascii="微软雅黑" w:hAnsi="微软雅黑" w:eastAsia="微软雅黑"/>
                <w:b w:val="0"/>
                <w:sz w:val="20"/>
              </w:rPr>
              <w:t>可以。患者详情页点击“编辑送检信息”，保存后状态为“已生效”，并生成送检日志。</w:t>
            </w:r>
          </w:p>
        </w:tc>
      </w:tr>
      <w:tr w14:paraId="00D0C063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666398">
            <w:r>
              <w:rPr>
                <w:rFonts w:ascii="微软雅黑" w:hAnsi="微软雅黑" w:eastAsia="微软雅黑"/>
                <w:b w:val="0"/>
                <w:sz w:val="20"/>
              </w:rPr>
              <w:t>回寄物流单号会通知患者吗？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B9804BF">
            <w:r>
              <w:rPr>
                <w:rFonts w:ascii="微软雅黑" w:hAnsi="微软雅黑" w:eastAsia="微软雅黑"/>
                <w:b w:val="0"/>
                <w:sz w:val="20"/>
              </w:rPr>
              <w:t>会在消息中心生成“回寄信息”，不发送短信或订阅通知。</w:t>
            </w:r>
          </w:p>
        </w:tc>
      </w:tr>
      <w:tr w14:paraId="5D6B5208">
        <w:tblPrEx>
          <w:tblBorders>
            <w:top w:val="single" w:color="D9E2F3" w:sz="4" w:space="0"/>
            <w:left w:val="single" w:color="D9E2F3" w:sz="4" w:space="0"/>
            <w:bottom w:val="single" w:color="D9E2F3" w:sz="4" w:space="0"/>
            <w:right w:val="single" w:color="D9E2F3" w:sz="4" w:space="0"/>
            <w:insideH w:val="single" w:color="D9E2F3" w:sz="4" w:space="0"/>
            <w:insideV w:val="single" w:color="D9E2F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E9C87E">
            <w:r>
              <w:rPr>
                <w:rFonts w:ascii="微软雅黑" w:hAnsi="微软雅黑" w:eastAsia="微软雅黑"/>
                <w:b w:val="0"/>
                <w:sz w:val="20"/>
              </w:rPr>
              <w:t>异步下载附件能只下载部分患者吗？</w:t>
            </w:r>
          </w:p>
        </w:tc>
        <w:tc>
          <w:tcPr>
            <w:tcW w:w="4929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6493A36">
            <w:r>
              <w:rPr>
                <w:rFonts w:ascii="微软雅黑" w:hAnsi="微软雅黑" w:eastAsia="微软雅黑"/>
                <w:b w:val="0"/>
                <w:sz w:val="20"/>
              </w:rPr>
              <w:t>可以。先在患者列表勾选患者，再打开“异步下载附件”，选择“已选患者”。</w:t>
            </w:r>
          </w:p>
        </w:tc>
      </w:tr>
    </w:tbl>
    <w:p w14:paraId="6C748C21"/>
    <w:sectPr>
      <w:pgSz w:w="12240" w:h="15840"/>
      <w:pgMar w:top="1191" w:right="1191" w:bottom="1077" w:left="119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BFA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  <w:rPr>
      <w:rFonts w:ascii="微软雅黑" w:hAnsi="微软雅黑" w:eastAsia="微软雅黑"/>
      <w:sz w:val="21"/>
    </w:r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  <w:rPr>
      <w:rFonts w:ascii="微软雅黑" w:hAnsi="微软雅黑" w:eastAsia="微软雅黑"/>
      <w:sz w:val="21"/>
    </w:r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1653</Words>
  <Characters>1686</Characters>
  <Lines>0</Lines>
  <Paragraphs>0</Paragraphs>
  <TotalTime>27</TotalTime>
  <ScaleCrop>false</ScaleCrop>
  <LinksUpToDate>false</LinksUpToDate>
  <CharactersWithSpaces>1719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LyZzzzzzzz</cp:lastModifiedBy>
  <dcterms:modified xsi:type="dcterms:W3CDTF">2026-06-05T12:44:11Z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eyJoZGlkIjoiZGMzNjczZmIwYmJkODNjMDUwZDY4NGI0MWEyNmU3YTkiLCJ1c2VySWQiOiIyNTE2NDQ5ODUifQ==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1DB57EA2A99C4027B9E9B4CE11C4D471_12</vt:lpwstr>
  </property>
</Properties>
</file>